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DEF" w:rsidRPr="00232630" w:rsidRDefault="003A3DEF" w:rsidP="003A3DEF">
      <w:pPr>
        <w:pStyle w:val="tytulspecyfikacji"/>
        <w:rPr>
          <w:noProof/>
          <w:szCs w:val="28"/>
          <w:lang w:val="pl-PL"/>
        </w:rPr>
      </w:pPr>
      <w:bookmarkStart w:id="0" w:name="_Toc384623032"/>
      <w:r w:rsidRPr="00232630">
        <w:rPr>
          <w:noProof/>
          <w:szCs w:val="28"/>
          <w:lang w:val="pl-PL"/>
        </w:rPr>
        <w:t xml:space="preserve">D-01.02.04 </w:t>
      </w:r>
      <w:r w:rsidRPr="00232630">
        <w:rPr>
          <w:noProof/>
          <w:szCs w:val="28"/>
          <w:lang w:val="pl-PL"/>
        </w:rPr>
        <w:br/>
      </w:r>
      <w:r w:rsidRPr="00232630">
        <w:rPr>
          <w:noProof/>
          <w:szCs w:val="28"/>
          <w:lang w:val="pl-PL"/>
        </w:rPr>
        <w:br/>
        <w:t xml:space="preserve">ROZBIÓRKA ELEMENTÓW DRÓG I </w:t>
      </w:r>
      <w:bookmarkEnd w:id="0"/>
      <w:r w:rsidRPr="00232630">
        <w:rPr>
          <w:noProof/>
          <w:szCs w:val="28"/>
          <w:lang w:val="pl-PL"/>
        </w:rPr>
        <w:t>ULIC</w:t>
      </w:r>
    </w:p>
    <w:p w:rsidR="003A3DEF" w:rsidRPr="006D0627" w:rsidRDefault="003A3DEF" w:rsidP="003A3DEF">
      <w:pPr>
        <w:pStyle w:val="tytulspecyfikacji"/>
        <w:rPr>
          <w:noProof/>
          <w:sz w:val="22"/>
          <w:szCs w:val="22"/>
          <w:lang w:val="pl-PL"/>
        </w:rPr>
      </w:pP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1.1.Przedmiot SST</w:t>
      </w:r>
    </w:p>
    <w:p w:rsidR="003A3DEF" w:rsidRPr="006D0627" w:rsidRDefault="003A3DEF" w:rsidP="003A3DEF">
      <w:p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Przedmiotem niniejszej Szczegółówej Specyfikacji Technicznej są wymagania dotyczące wykonania i odbioru robót związanych z rozbiórką elementów dróg i ulic w ramach budowy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1.2. Zakres stosowania SST</w:t>
      </w:r>
    </w:p>
    <w:p w:rsidR="003A3DEF" w:rsidRPr="006D0627" w:rsidRDefault="003A3DEF" w:rsidP="003A3DEF">
      <w:pPr>
        <w:rPr>
          <w:noProof/>
          <w:sz w:val="22"/>
          <w:szCs w:val="22"/>
        </w:rPr>
      </w:pPr>
      <w:r w:rsidRPr="006D0627">
        <w:rPr>
          <w:sz w:val="22"/>
          <w:szCs w:val="22"/>
        </w:rPr>
        <w:t>Szczegółowe Specyfikacje Techniczne należy odczytywać i rozumieć jako część dokumentów kontraktowych w zlecaniu i wykonaniu Robót opisanych w podpunkcie 1.1. Określają one zakres standardu materiałów, wykonania robót i wymaganej ich jakości oraz kontroli.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1.3. Zakres robót objętych SST</w:t>
      </w:r>
    </w:p>
    <w:p w:rsidR="003A3DEF" w:rsidRPr="006D0627" w:rsidRDefault="003A3DEF" w:rsidP="003A3DEF">
      <w:p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Ustalenia zawarte w niniejszej specyfikacji dotyczą zasad prowadzenia robót związanych z rozbiórką: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nawierzchni bitumicznych,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nawierzchni betonowych z płyt „Jomb”,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nawierzchni brukowych z kostki betonowej,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nawierzchni brukowych z kostki kamiennej,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ścieku przykrawedziowego,warstw podbudowy z chudego betonu,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warstwy podbudowy żuzlowej,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warstw podbudowy z kruszywa 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krawężników, obrzeży,ogrodzeń,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wiat,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bram i furtek,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przepustów,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murków oporowych,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barier drogowych stalowych energochłonnych,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istniejących znaków drogowych i tablic z konstrukcjami wsporczymi,</w:t>
      </w:r>
    </w:p>
    <w:p w:rsidR="003A3DEF" w:rsidRPr="006D0627" w:rsidRDefault="003A3DEF" w:rsidP="003A3DEF">
      <w:pPr>
        <w:spacing w:before="120" w:after="120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Specyfilacja ponadto obejmuje także roboty zwiazane z :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odzyskiem materiałów użytecznych z rozbiórki,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odwiezieniem materiałów użytecznych z rozbiórki w miejsce wskazane przez Inżyniera a pozostałych na legalne składowisko z przeprowadzeniem utylizacji.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1.4. Określenia podstawowe</w:t>
      </w:r>
    </w:p>
    <w:p w:rsidR="003A3DEF" w:rsidRPr="006D0627" w:rsidRDefault="003A3DEF" w:rsidP="003A3DEF">
      <w:p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Stosowane określenia podstawowe są zgodne z obowiązującymi, odpowiednimi polskimi normami oraz z definicjami podanymi w ST D-00.00.00 „Wymagania ogólne” pkt 1.4.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1.5. Ogólne wymagania dotyczące robót</w:t>
      </w:r>
    </w:p>
    <w:p w:rsidR="003A3DEF" w:rsidRPr="006D0627" w:rsidRDefault="003A3DEF" w:rsidP="003A3DEF">
      <w:p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Ogólne wymagania dotyczące robót podano w ST D-00.00.00 „Wymagania ogólne” pkt 1.5.</w:t>
      </w:r>
    </w:p>
    <w:p w:rsidR="003A3DEF" w:rsidRPr="006D0627" w:rsidRDefault="003A3DEF" w:rsidP="003A3DEF">
      <w:pPr>
        <w:pStyle w:val="Nagwek1"/>
        <w:numPr>
          <w:ilvl w:val="12"/>
          <w:numId w:val="0"/>
        </w:num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2. MATERIAŁY</w:t>
      </w:r>
    </w:p>
    <w:p w:rsidR="003A3DEF" w:rsidRPr="006D0627" w:rsidRDefault="003A3DEF" w:rsidP="003A3DEF">
      <w:p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Do zasypania dołów po elementach rozbieran</w:t>
      </w:r>
      <w:r w:rsidR="00877892">
        <w:rPr>
          <w:noProof/>
          <w:sz w:val="22"/>
          <w:szCs w:val="22"/>
        </w:rPr>
        <w:t>ych należy użyć grunt przydatny</w:t>
      </w:r>
      <w:r w:rsidRPr="006D0627">
        <w:rPr>
          <w:noProof/>
          <w:sz w:val="22"/>
          <w:szCs w:val="22"/>
        </w:rPr>
        <w:t xml:space="preserve"> do budowy nasypów.</w:t>
      </w:r>
    </w:p>
    <w:p w:rsidR="003A3DEF" w:rsidRPr="006D0627" w:rsidRDefault="003A3DEF" w:rsidP="003A3DEF">
      <w:pPr>
        <w:pStyle w:val="Nagwek1"/>
        <w:numPr>
          <w:ilvl w:val="12"/>
          <w:numId w:val="0"/>
        </w:num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3. SPRZĘT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3.1. Ogólne wymagania dotyczące sprzętu</w:t>
      </w:r>
    </w:p>
    <w:p w:rsidR="003A3DEF" w:rsidRPr="006D0627" w:rsidRDefault="003A3DEF" w:rsidP="003A3DEF">
      <w:p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Ogólne wymagania dotyczące sprzętu podano w ST D-00.00.00 „Wymagania ogólne” pkt 3.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lastRenderedPageBreak/>
        <w:t>3.2. Sprzęt do rozbiórki</w:t>
      </w:r>
    </w:p>
    <w:p w:rsidR="003A3DEF" w:rsidRPr="006D0627" w:rsidRDefault="003A3DEF" w:rsidP="003A3DEF">
      <w:pPr>
        <w:ind w:firstLine="0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Do wykonania robót związanych z rozbiórką elementów dróg i ogrodzeń może być wykorzystany sprzęt podany poniżej, lub inny zaakceptowany przez In</w:t>
      </w:r>
      <w:r w:rsidR="00CE7595">
        <w:rPr>
          <w:noProof/>
          <w:sz w:val="22"/>
          <w:szCs w:val="22"/>
        </w:rPr>
        <w:t>spektora</w:t>
      </w:r>
      <w:bookmarkStart w:id="1" w:name="_GoBack"/>
      <w:bookmarkEnd w:id="1"/>
      <w:r w:rsidRPr="006D0627">
        <w:rPr>
          <w:noProof/>
          <w:sz w:val="22"/>
          <w:szCs w:val="22"/>
        </w:rPr>
        <w:t>: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spycharki,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ładowarki,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żurawie samochodowe,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samochody ciężarowe,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zrywarki,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młoty pneumatyczne,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piły mechaniczne,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frezarki do nawierzchni,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koparki,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sprzęt pomocniczy do demontazu i montażu elementów małej architektury</w:t>
      </w:r>
    </w:p>
    <w:p w:rsidR="003A3DEF" w:rsidRPr="006D0627" w:rsidRDefault="003A3DEF" w:rsidP="003A3DEF">
      <w:pPr>
        <w:pStyle w:val="Nagwek1"/>
        <w:numPr>
          <w:ilvl w:val="12"/>
          <w:numId w:val="0"/>
        </w:num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4. TRANSPORT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4.1. Ogólne wymagania dotyczące transportu</w:t>
      </w:r>
    </w:p>
    <w:p w:rsidR="003A3DEF" w:rsidRPr="006D0627" w:rsidRDefault="003A3DEF" w:rsidP="003A3DEF">
      <w:p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Ogólne wymagania dotyczące transportu podano w ST D-00.00.00 „Wymagania ogólne” pkt 4.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4.2. Transport materiałów z rozbiórki</w:t>
      </w:r>
    </w:p>
    <w:p w:rsidR="003A3DEF" w:rsidRPr="006D0627" w:rsidRDefault="003A3DEF" w:rsidP="003A3DEF">
      <w:pPr>
        <w:ind w:firstLine="0"/>
        <w:rPr>
          <w:sz w:val="22"/>
          <w:szCs w:val="22"/>
        </w:rPr>
      </w:pPr>
      <w:r w:rsidRPr="006D0627">
        <w:rPr>
          <w:sz w:val="22"/>
          <w:szCs w:val="22"/>
        </w:rPr>
        <w:t>Ogólne wymagania doty</w:t>
      </w:r>
      <w:r w:rsidR="00693ACC">
        <w:rPr>
          <w:sz w:val="22"/>
          <w:szCs w:val="22"/>
        </w:rPr>
        <w:t>czące transportu podano w ST D-</w:t>
      </w:r>
      <w:r w:rsidRPr="006D0627">
        <w:rPr>
          <w:sz w:val="22"/>
          <w:szCs w:val="22"/>
        </w:rPr>
        <w:t>00.00.00. "Wymagania ogólne".</w:t>
      </w:r>
    </w:p>
    <w:p w:rsidR="003A3DEF" w:rsidRPr="006D0627" w:rsidRDefault="003A3DEF" w:rsidP="003A3DEF">
      <w:pPr>
        <w:ind w:firstLine="0"/>
        <w:rPr>
          <w:sz w:val="22"/>
          <w:szCs w:val="22"/>
        </w:rPr>
      </w:pPr>
      <w:r w:rsidRPr="006D0627">
        <w:rPr>
          <w:sz w:val="22"/>
          <w:szCs w:val="22"/>
        </w:rPr>
        <w:t>Materiały z rozbiórki mogą być przewożone dowolnymi środkami transportowymi.</w:t>
      </w:r>
    </w:p>
    <w:p w:rsidR="003A3DEF" w:rsidRPr="006D0627" w:rsidRDefault="003A3DEF" w:rsidP="003A3DEF">
      <w:pPr>
        <w:pStyle w:val="Nagwek1"/>
        <w:numPr>
          <w:ilvl w:val="12"/>
          <w:numId w:val="0"/>
        </w:num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5. WYKONANIE ROBÓT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5.1. Ogólne zasady wykonania robót</w:t>
      </w:r>
    </w:p>
    <w:p w:rsidR="003A3DEF" w:rsidRPr="006D0627" w:rsidRDefault="003A3DEF" w:rsidP="003A3DEF">
      <w:p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Ogólne zasady</w:t>
      </w:r>
      <w:r w:rsidR="00693ACC">
        <w:rPr>
          <w:noProof/>
          <w:sz w:val="22"/>
          <w:szCs w:val="22"/>
        </w:rPr>
        <w:t xml:space="preserve"> wykonania robót podano w ST D</w:t>
      </w:r>
      <w:r w:rsidRPr="006D0627">
        <w:rPr>
          <w:noProof/>
          <w:sz w:val="22"/>
          <w:szCs w:val="22"/>
        </w:rPr>
        <w:t>-00.00.00 „Wymagania ogólne” pkt 5.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5.2. Roboty przygotowawcze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t>Odcinki wykonywanych robót należy oznakować zgodnie z Rozporządzeniem Ministra Infrastruktury z dnia 3 lipca 2003r w sprawie szczegółowych warunków technicznych dla znaków i sygnałów świetlnych oraz urządzeń bezpieczeństwa ruchu i warunków ich umieszczania na drogach (Dz.U. nr 220 z 2003 roku poz. 2181) - zał. nr 4.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t xml:space="preserve">Przed przystąpieniem do robót Wykonawca przedstawi </w:t>
      </w:r>
      <w:r w:rsidR="00877892">
        <w:rPr>
          <w:sz w:val="22"/>
          <w:szCs w:val="22"/>
        </w:rPr>
        <w:t>Zamawiającemu</w:t>
      </w:r>
      <w:r w:rsidRPr="006D0627">
        <w:rPr>
          <w:sz w:val="22"/>
          <w:szCs w:val="22"/>
        </w:rPr>
        <w:t xml:space="preserve"> uzgodniony z odpowiednim zarządem drogi i organem zarządzającym ruchem projekt organizacji ruchu i zabezpieczenia robót.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5.3. Wykonanie robót rozbiórkowych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t>Roboty rozbiórkowe elementów dróg i ulic obejmują usunięcie z pasa drogowego wszystkich elementów, w stosunku, do których zostało to przewidziane w Dokumentacji Projektowej.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t>Warstwy nawierzchni należy usuwać mechanicznie. W miejscach trudno dostępnych dla sprzętu mechanicznego dopuszcza się ręczne prowadzenie robót rozbiórkowych.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t>Rozbiórkę nawierzchni z kostki i płyt betonowych, krawężników, obrzeży, ścieków, itp. wykonać ręcznie.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t>Rozbiórkę elementów oznakowania pionowego i barier ochronnych wykonać ręcznie lub mechanicznie (jeśli jest to wymagane).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t>W przypadku robót rozbiórkowych przepustu należy dokonać: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t>-</w:t>
      </w:r>
      <w:r w:rsidRPr="006D0627">
        <w:rPr>
          <w:sz w:val="22"/>
          <w:szCs w:val="22"/>
        </w:rPr>
        <w:tab/>
        <w:t>odkopania przepustu,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t>-</w:t>
      </w:r>
      <w:r w:rsidRPr="006D0627">
        <w:rPr>
          <w:sz w:val="22"/>
          <w:szCs w:val="22"/>
        </w:rPr>
        <w:tab/>
        <w:t>rozbicia elementów, których nie przewiduje się odzyskać, w sposób ręczny lub mechaniczny z ew. przecięciem prętów zbrojeniowych i ich odgięciem,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t>-</w:t>
      </w:r>
      <w:r w:rsidRPr="006D0627">
        <w:rPr>
          <w:sz w:val="22"/>
          <w:szCs w:val="22"/>
        </w:rPr>
        <w:tab/>
        <w:t>demontażu prefabrykowanych elementów przepustów (np. rur, elementów skrzynkowych, ramowych) z uprzednim oczyszczeniem spoin i częściowym usunięciu ław, względnie ostrożnego rozebrania konstrukcji kamiennych, ceglanych, klinkierowych itp. przy założeniu ponownego ich wykorzystania,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lastRenderedPageBreak/>
        <w:t>- oczyszczenia rozebranych elementów, przewidzianych do powtórnego użycia (z zaprawy, kawałków betonu, izolacji itp.) i ich posortowania.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t>W przypadku, gdy rozbierany jest tylko fragment całości ogrodzenia, pozostającą nierozbieraną część należy zakończyć np. słupkiem i zabezpieczyć przed zniszczeniem.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5.4. Zagospodarowanie materiałów z rozbiórki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t>Elementy bezpieczeństwa ruchu tj. konstrukcje wsporcze, słupki do znaków, tarcze znaków, słupki przeszkodowe, itp. - w dobrym stanie technicznym należy po oczyszczeniu przekazać do Bazy Materiałowej ZDW.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t>Pozostałe materiały pochodzące z rozbiórki Wykonawca usunie z terenu budowy i zutylizuje zgodnie z obowiązującymi przepisami dotyczącymi materiałów z rozbiórek. Teren zwałki Wykonawca zabezpieczy staraniem własnym, przy czym lokalizacja terenu zwałki musi uzyskać pozytywną opinię odpowiednich miejscowo władz samorządowych i Inżyniera.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t>Dopuszcza się, za zgodą Inżyniera, użycie powtórne materiałów z rozbiórki nawierzchni.</w:t>
      </w:r>
    </w:p>
    <w:p w:rsidR="003A3DEF" w:rsidRPr="006D0627" w:rsidRDefault="003A3DEF" w:rsidP="003A3DEF">
      <w:pPr>
        <w:rPr>
          <w:sz w:val="22"/>
          <w:szCs w:val="22"/>
        </w:rPr>
      </w:pPr>
      <w:r w:rsidRPr="006D0627">
        <w:rPr>
          <w:sz w:val="22"/>
          <w:szCs w:val="22"/>
        </w:rPr>
        <w:t>Wszystkie powstałe doły (wykopy) po usuniętych elementach: znakach, ogrodzeniach, przepustach itp. należy wypełnić odpowiednim gruntem i warstwami zagęścić zgodnie z wymaganiami podanymi w ST D.04.01.01.”Korytowanie wraz z profilowaniem i zagęszczeniem podłoża”. W przypadku pozostawienia dołów po usuniętych elementach: znakach, ogrodzeniach, przepustach itp. powinny być one tymczasowo zabezpieczone. W szczególności należy zapobiec gromadzeniu się w nich wody.</w:t>
      </w:r>
    </w:p>
    <w:p w:rsidR="003A3DEF" w:rsidRPr="006D0627" w:rsidRDefault="003A3DEF" w:rsidP="003A3DEF">
      <w:pPr>
        <w:pStyle w:val="Nagwek1"/>
        <w:numPr>
          <w:ilvl w:val="12"/>
          <w:numId w:val="0"/>
        </w:num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6. KONTROLA JAKOŚCI ROBÓT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6.1. Ogólne zasady kontroli jakości robót</w:t>
      </w:r>
    </w:p>
    <w:p w:rsidR="003A3DEF" w:rsidRPr="006D0627" w:rsidRDefault="003A3DEF" w:rsidP="003A3DEF">
      <w:p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Ogólne zasady kontro</w:t>
      </w:r>
      <w:r w:rsidR="00693ACC">
        <w:rPr>
          <w:noProof/>
          <w:sz w:val="22"/>
          <w:szCs w:val="22"/>
        </w:rPr>
        <w:t>li jakości robót podano w ST D</w:t>
      </w:r>
      <w:r w:rsidRPr="006D0627">
        <w:rPr>
          <w:noProof/>
          <w:sz w:val="22"/>
          <w:szCs w:val="22"/>
        </w:rPr>
        <w:t>-00.00.00 „Wymagania ogólne” pkt 6.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6.2. Kontrola jakości robót rozbiórkowych</w:t>
      </w:r>
    </w:p>
    <w:p w:rsidR="003A3DEF" w:rsidRPr="006D0627" w:rsidRDefault="003A3DEF" w:rsidP="003A3DEF">
      <w:pPr>
        <w:pStyle w:val="tekst"/>
        <w:spacing w:before="120"/>
        <w:rPr>
          <w:sz w:val="22"/>
          <w:szCs w:val="22"/>
        </w:rPr>
      </w:pPr>
      <w:r w:rsidRPr="006D0627">
        <w:rPr>
          <w:sz w:val="22"/>
          <w:szCs w:val="22"/>
        </w:rPr>
        <w:t>Sprawdzenie jakości robót rozbiórkowych polega na sprawdzeniu ich zgodności z:</w:t>
      </w:r>
    </w:p>
    <w:p w:rsidR="003A3DEF" w:rsidRPr="006D0627" w:rsidRDefault="003A3DEF" w:rsidP="003A3DEF">
      <w:pPr>
        <w:ind w:left="425" w:firstLine="1"/>
        <w:rPr>
          <w:sz w:val="22"/>
          <w:szCs w:val="22"/>
        </w:rPr>
      </w:pPr>
      <w:r w:rsidRPr="006D0627">
        <w:rPr>
          <w:sz w:val="22"/>
          <w:szCs w:val="22"/>
        </w:rPr>
        <w:t>-</w:t>
      </w:r>
      <w:r w:rsidRPr="006D0627">
        <w:rPr>
          <w:sz w:val="22"/>
          <w:szCs w:val="22"/>
        </w:rPr>
        <w:tab/>
        <w:t>Dokumentacją Projektową w zakresie kompletności wykonywanych robót,</w:t>
      </w:r>
    </w:p>
    <w:p w:rsidR="003A3DEF" w:rsidRPr="006D0627" w:rsidRDefault="003A3DEF" w:rsidP="003A3DEF">
      <w:pPr>
        <w:numPr>
          <w:ilvl w:val="0"/>
          <w:numId w:val="2"/>
        </w:numPr>
        <w:tabs>
          <w:tab w:val="clear" w:pos="1131"/>
          <w:tab w:val="num" w:pos="705"/>
        </w:tabs>
        <w:overflowPunct/>
        <w:autoSpaceDE/>
        <w:autoSpaceDN/>
        <w:adjustRightInd/>
        <w:ind w:left="425" w:firstLine="0"/>
        <w:textAlignment w:val="auto"/>
        <w:rPr>
          <w:sz w:val="22"/>
          <w:szCs w:val="22"/>
        </w:rPr>
      </w:pPr>
      <w:r w:rsidRPr="006D0627">
        <w:rPr>
          <w:sz w:val="22"/>
          <w:szCs w:val="22"/>
        </w:rPr>
        <w:t>wymaganiami podanymi w pkt. 5 niniejszej Specyfikacji</w:t>
      </w:r>
    </w:p>
    <w:p w:rsidR="003A3DEF" w:rsidRPr="006D0627" w:rsidRDefault="003A3DEF" w:rsidP="003A3DEF">
      <w:pPr>
        <w:ind w:firstLine="0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Zagęszczenie gruntu wypełniającego ewentualne doły po usuniętych elementach nawierzchni i ogrodzeń powinno spełniać odpowiednie wymagania określone w ST D-02.01.01.</w:t>
      </w:r>
    </w:p>
    <w:p w:rsidR="003A3DEF" w:rsidRPr="006D0627" w:rsidRDefault="003A3DEF" w:rsidP="003A3DEF">
      <w:pPr>
        <w:pStyle w:val="Nagwek1"/>
        <w:numPr>
          <w:ilvl w:val="12"/>
          <w:numId w:val="0"/>
        </w:num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7. OBMIAR ROBÓT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7.1. Ogólne zasady obmiaru robót</w:t>
      </w:r>
    </w:p>
    <w:p w:rsidR="003A3DEF" w:rsidRPr="006D0627" w:rsidRDefault="003A3DEF" w:rsidP="003A3DEF">
      <w:p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Ogólne zasady obmiaru robót podano w ST D-M-00.00.00 „Wymagania ogólne” pkt 7.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7.2. Jednostka obmiarowa</w:t>
      </w:r>
    </w:p>
    <w:p w:rsidR="003A3DEF" w:rsidRPr="006D0627" w:rsidRDefault="003A3DEF" w:rsidP="003A3DEF">
      <w:pPr>
        <w:spacing w:before="120" w:after="120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Jednostką obmiarową robót związanych z rozbiórką elementów dróg i ogrodzeń jest: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dla podbudów, nawierzchni, chodników - m2 (metr kwadratowy),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dla krawężnika, opornika, obrzeża, ścieków prefabrykowanych, ogrodzeń, barier i poręczy - m (metr),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dla znaków drogowych, tablic  - szt. (sztuka),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dla bram i furtek – szt. (sztuka),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dla przepustów dla średnicy - m (metr),</w:t>
      </w:r>
    </w:p>
    <w:p w:rsidR="003A3DEF" w:rsidRPr="006D0627" w:rsidRDefault="003A3DEF" w:rsidP="003A3DEF">
      <w:pPr>
        <w:pStyle w:val="myslnik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dla murków oporowych – m3 (metr sześcienny)</w:t>
      </w:r>
    </w:p>
    <w:p w:rsidR="003A3DEF" w:rsidRPr="006D0627" w:rsidRDefault="003A3DEF" w:rsidP="003A3DEF">
      <w:pPr>
        <w:pStyle w:val="Nagwek1"/>
        <w:numPr>
          <w:ilvl w:val="12"/>
          <w:numId w:val="0"/>
        </w:num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8. ODBIÓR ROBÓT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8.1. Ogólne zasady odbioru robót</w:t>
      </w:r>
    </w:p>
    <w:p w:rsidR="003A3DEF" w:rsidRPr="006D0627" w:rsidRDefault="003A3DEF" w:rsidP="003A3DEF">
      <w:p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Ogólne zasady odbioru robót podano w ST D-M-00.00.00 „Wymagania ogólne” pkt 8.</w:t>
      </w:r>
    </w:p>
    <w:p w:rsidR="003A3DEF" w:rsidRPr="006D0627" w:rsidRDefault="003A3DEF" w:rsidP="003A3DEF">
      <w:pPr>
        <w:pStyle w:val="Nagwek1"/>
        <w:numPr>
          <w:ilvl w:val="12"/>
          <w:numId w:val="0"/>
        </w:num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lastRenderedPageBreak/>
        <w:t>9. PODSTAWA PŁATNOŚCI</w:t>
      </w:r>
    </w:p>
    <w:p w:rsidR="003A3DEF" w:rsidRPr="006D0627" w:rsidRDefault="003A3DEF" w:rsidP="003A3DEF">
      <w:pPr>
        <w:pStyle w:val="Nagwek2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9.1. Ogólne ustalenia dotyczące podstawy płatności</w:t>
      </w:r>
    </w:p>
    <w:p w:rsidR="003A3DEF" w:rsidRPr="006D0627" w:rsidRDefault="003A3DEF" w:rsidP="003A3DEF">
      <w:pPr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Ogólne ustalenia dotyczące podstawy płatności podano w ST D-M-00.00.00 „Wymagania ogólne” pkt 9.</w:t>
      </w:r>
    </w:p>
    <w:p w:rsidR="003A3DEF" w:rsidRPr="006D0627" w:rsidRDefault="003A3DEF" w:rsidP="003A3DEF">
      <w:pPr>
        <w:pStyle w:val="Nagwek1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10. PRZEPISY ZWIĄZANE</w:t>
      </w:r>
    </w:p>
    <w:p w:rsidR="003A3DEF" w:rsidRPr="006D0627" w:rsidRDefault="003A3DEF" w:rsidP="003A3DEF">
      <w:pPr>
        <w:numPr>
          <w:ilvl w:val="0"/>
          <w:numId w:val="3"/>
        </w:numPr>
        <w:ind w:left="709" w:hanging="283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PN-S-02205 Roboty ziemne</w:t>
      </w:r>
    </w:p>
    <w:p w:rsidR="003A3DEF" w:rsidRPr="006D0627" w:rsidRDefault="003A3DEF" w:rsidP="003A3DEF">
      <w:pPr>
        <w:numPr>
          <w:ilvl w:val="0"/>
          <w:numId w:val="3"/>
        </w:numPr>
        <w:ind w:left="709" w:hanging="283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Ustawa z dnia 27.04.2001 r. Prawo ochrony środowiska (Dz.U. Nr 62, poz. 628)</w:t>
      </w:r>
    </w:p>
    <w:p w:rsidR="003A3DEF" w:rsidRPr="006D0627" w:rsidRDefault="003A3DEF" w:rsidP="003A3DEF">
      <w:pPr>
        <w:numPr>
          <w:ilvl w:val="0"/>
          <w:numId w:val="3"/>
        </w:numPr>
        <w:ind w:left="709" w:hanging="283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Rozporządzenie Ministra Środowiska z dnia 27.09.2001 r. w sprawie katalogu odpadów (Dz.U. Nr 1 poz. 1206)</w:t>
      </w:r>
    </w:p>
    <w:p w:rsidR="003A3DEF" w:rsidRPr="006D0627" w:rsidRDefault="003A3DEF" w:rsidP="003A3DEF">
      <w:pPr>
        <w:numPr>
          <w:ilvl w:val="0"/>
          <w:numId w:val="3"/>
        </w:numPr>
        <w:ind w:left="709" w:hanging="283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Rozporządzenie Ministra Środowiska z dnia 11.12.2001 r. w sprawie rodzaju odpadów lub ich ilości, których nie ma obowiązku prowadzenia ewidencji odpadów, oraz kategorii małych i średnich przedsiębiorstw, które mogą prowadzić uproszczoną ewidencję odpadów (Dz.U. Nr 152, poz. 1735)</w:t>
      </w:r>
    </w:p>
    <w:p w:rsidR="003A3DEF" w:rsidRPr="006D0627" w:rsidRDefault="003A3DEF" w:rsidP="003A3DEF">
      <w:pPr>
        <w:numPr>
          <w:ilvl w:val="0"/>
          <w:numId w:val="3"/>
        </w:numPr>
        <w:ind w:left="709" w:hanging="283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Rozporządzenie Ministra Środowiska z dnia 28.05.2002 r. w sprawie listy rodzajów odpadów, które posiadacz odpadów może przekazywać osobom fizycznym lub jednostkom organizacyjnym, nie będącymi przedsiębiorcami, do wykorzystania na ich własne potrzeby (Dz.U. Nr 74, poz. 686)</w:t>
      </w:r>
    </w:p>
    <w:p w:rsidR="003A3DEF" w:rsidRPr="006D0627" w:rsidRDefault="003A3DEF" w:rsidP="003A3DEF">
      <w:pPr>
        <w:numPr>
          <w:ilvl w:val="0"/>
          <w:numId w:val="3"/>
        </w:numPr>
        <w:ind w:left="709" w:hanging="283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Ustawa z dnia 27.07.2001 o wprowadzeniu ustawy - prawo ochrony środowiska, ustawy o odpadach oraz zmianie niektórych ustaw (Dz.U. Nr 100, poz. 1085)</w:t>
      </w:r>
    </w:p>
    <w:p w:rsidR="003A3DEF" w:rsidRPr="006D0627" w:rsidRDefault="003A3DEF" w:rsidP="003A3DEF">
      <w:pPr>
        <w:numPr>
          <w:ilvl w:val="0"/>
          <w:numId w:val="3"/>
        </w:numPr>
        <w:ind w:left="709" w:hanging="283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Ustawa z dnia 11.05.2001 r. o obowiązkach przedsiębiorców w zakresie gospodarowania niektórymi odpadami oraz o opłacie produkcyjnej i opłacie depozytowej (Dz.U. Nr 63, poz. 639)</w:t>
      </w:r>
    </w:p>
    <w:p w:rsidR="003A3DEF" w:rsidRPr="006D0627" w:rsidRDefault="003A3DEF" w:rsidP="003A3DEF">
      <w:pPr>
        <w:numPr>
          <w:ilvl w:val="0"/>
          <w:numId w:val="3"/>
        </w:numPr>
        <w:ind w:left="709" w:hanging="283"/>
        <w:rPr>
          <w:noProof/>
          <w:sz w:val="22"/>
          <w:szCs w:val="22"/>
        </w:rPr>
      </w:pPr>
      <w:r w:rsidRPr="006D0627">
        <w:rPr>
          <w:noProof/>
          <w:sz w:val="22"/>
          <w:szCs w:val="22"/>
        </w:rPr>
        <w:t>Ustawa z dnia 13.09.1996 r. o utrzymaniu czystości i porządku w gminach (Dz.U. Nr 132, poz. 622)</w:t>
      </w:r>
    </w:p>
    <w:p w:rsidR="003A3DEF" w:rsidRPr="006D0627" w:rsidRDefault="003A3DEF" w:rsidP="003A3DEF">
      <w:pPr>
        <w:numPr>
          <w:ilvl w:val="0"/>
          <w:numId w:val="3"/>
        </w:numPr>
        <w:ind w:left="709" w:hanging="283"/>
        <w:rPr>
          <w:sz w:val="22"/>
          <w:szCs w:val="22"/>
        </w:rPr>
      </w:pPr>
      <w:r w:rsidRPr="006D0627">
        <w:rPr>
          <w:noProof/>
          <w:sz w:val="22"/>
          <w:szCs w:val="22"/>
        </w:rPr>
        <w:t>Rozporządzenie Ministra Infrastruktury z dnia 6 lutego 2003 r. w sprawie bezpieczeństwa i higieny pracy podczas wykonywania robót budowlanych (Dz.U. Nr 47, poz. 401)</w:t>
      </w:r>
    </w:p>
    <w:p w:rsidR="007A2317" w:rsidRPr="006D0627" w:rsidRDefault="007A2317">
      <w:pPr>
        <w:rPr>
          <w:sz w:val="22"/>
          <w:szCs w:val="22"/>
        </w:rPr>
      </w:pPr>
    </w:p>
    <w:sectPr w:rsidR="007A2317" w:rsidRPr="006D06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4C41370"/>
    <w:lvl w:ilvl="0">
      <w:numFmt w:val="bullet"/>
      <w:pStyle w:val="myslnik"/>
      <w:lvlText w:val="*"/>
      <w:lvlJc w:val="left"/>
    </w:lvl>
  </w:abstractNum>
  <w:abstractNum w:abstractNumId="1" w15:restartNumberingAfterBreak="0">
    <w:nsid w:val="20743C2C"/>
    <w:multiLevelType w:val="singleLevel"/>
    <w:tmpl w:val="53BE27F6"/>
    <w:lvl w:ilvl="0">
      <w:start w:val="1"/>
      <w:numFmt w:val="bullet"/>
      <w:lvlText w:val="-"/>
      <w:lvlJc w:val="left"/>
      <w:pPr>
        <w:tabs>
          <w:tab w:val="num" w:pos="1131"/>
        </w:tabs>
        <w:ind w:left="1131" w:hanging="705"/>
      </w:pPr>
      <w:rPr>
        <w:rFonts w:hint="default"/>
      </w:rPr>
    </w:lvl>
  </w:abstractNum>
  <w:abstractNum w:abstractNumId="2" w15:restartNumberingAfterBreak="0">
    <w:nsid w:val="48BE727C"/>
    <w:multiLevelType w:val="hybridMultilevel"/>
    <w:tmpl w:val="9CAAC5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lvl w:ilvl="0">
        <w:start w:val="1"/>
        <w:numFmt w:val="bullet"/>
        <w:pStyle w:val="myslnik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DEF"/>
    <w:rsid w:val="00232630"/>
    <w:rsid w:val="003A3DEF"/>
    <w:rsid w:val="00693ACC"/>
    <w:rsid w:val="006D0627"/>
    <w:rsid w:val="00706E1F"/>
    <w:rsid w:val="007A2317"/>
    <w:rsid w:val="00877892"/>
    <w:rsid w:val="00CE7595"/>
    <w:rsid w:val="00FC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1F83AB-E254-479F-909C-E8CC30C3E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3DEF"/>
    <w:pPr>
      <w:numPr>
        <w:ilvl w:val="12"/>
      </w:num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kern w:val="20"/>
      <w:sz w:val="20"/>
      <w:szCs w:val="20"/>
      <w:lang w:eastAsia="pl-PL"/>
    </w:rPr>
  </w:style>
  <w:style w:type="paragraph" w:styleId="Nagwek1">
    <w:name w:val="heading 1"/>
    <w:next w:val="Normalny"/>
    <w:link w:val="Nagwek1Znak"/>
    <w:qFormat/>
    <w:rsid w:val="003A3DEF"/>
    <w:pPr>
      <w:keepNext/>
      <w:keepLines/>
      <w:suppressAutoHyphens/>
      <w:spacing w:before="240" w:after="120" w:line="240" w:lineRule="auto"/>
      <w:outlineLvl w:val="0"/>
    </w:pPr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paragraph" w:styleId="Nagwek2">
    <w:name w:val="heading 2"/>
    <w:next w:val="Normalny"/>
    <w:link w:val="Nagwek2Znak"/>
    <w:qFormat/>
    <w:rsid w:val="003A3DEF"/>
    <w:pPr>
      <w:keepNext/>
      <w:spacing w:before="120" w:after="12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A3DEF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A3DEF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ytulspecyfikacji">
    <w:name w:val="tytul specyfikacji"/>
    <w:rsid w:val="003A3DEF"/>
    <w:pPr>
      <w:spacing w:after="0" w:line="240" w:lineRule="auto"/>
      <w:ind w:left="91"/>
      <w:jc w:val="center"/>
    </w:pPr>
    <w:rPr>
      <w:rFonts w:ascii="Times New Roman" w:eastAsia="Times New Roman" w:hAnsi="Times New Roman" w:cs="Times New Roman"/>
      <w:b/>
      <w:sz w:val="28"/>
      <w:szCs w:val="24"/>
      <w:lang w:val="en-US" w:eastAsia="pl-PL"/>
    </w:rPr>
  </w:style>
  <w:style w:type="paragraph" w:customStyle="1" w:styleId="myslnik">
    <w:name w:val="myslnik"/>
    <w:rsid w:val="003A3DEF"/>
    <w:pPr>
      <w:numPr>
        <w:numId w:val="1"/>
      </w:numPr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basedOn w:val="Normalny"/>
    <w:rsid w:val="003A3DEF"/>
    <w:pPr>
      <w:numPr>
        <w:ilvl w:val="0"/>
      </w:numPr>
      <w:overflowPunct/>
      <w:autoSpaceDE/>
      <w:autoSpaceDN/>
      <w:adjustRightInd/>
      <w:spacing w:line="300" w:lineRule="atLeast"/>
      <w:ind w:firstLine="284"/>
      <w:textAlignment w:val="auto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1236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Trzciński</dc:creator>
  <cp:keywords/>
  <dc:description/>
  <cp:lastModifiedBy>Grzegorz Trzciński</cp:lastModifiedBy>
  <cp:revision>8</cp:revision>
  <dcterms:created xsi:type="dcterms:W3CDTF">2021-02-04T06:10:00Z</dcterms:created>
  <dcterms:modified xsi:type="dcterms:W3CDTF">2021-02-04T09:18:00Z</dcterms:modified>
</cp:coreProperties>
</file>